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15" w:rsidRDefault="005D4415" w:rsidP="005D4415">
      <w:pPr>
        <w:spacing w:before="1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ANEXO VIII – ESPECIFICIDADES DO SISTEMA WEB</w:t>
      </w:r>
    </w:p>
    <w:p w:rsidR="005D4415" w:rsidRDefault="005D4415" w:rsidP="00CA770C">
      <w:pPr>
        <w:spacing w:before="1"/>
        <w:jc w:val="both"/>
        <w:rPr>
          <w:rFonts w:ascii="Arial" w:hAnsi="Arial" w:cs="Arial"/>
          <w:bCs/>
          <w:sz w:val="18"/>
          <w:szCs w:val="18"/>
        </w:rPr>
      </w:pPr>
    </w:p>
    <w:p w:rsidR="00071CF6" w:rsidRDefault="00071CF6" w:rsidP="00CA770C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O sistema web da contratada deverá apresentar as seguintes característica de segurança e funcionalidades:</w:t>
      </w:r>
    </w:p>
    <w:p w:rsidR="00071CF6" w:rsidRDefault="00071CF6" w:rsidP="00CA770C">
      <w:pPr>
        <w:spacing w:before="1"/>
        <w:jc w:val="both"/>
        <w:rPr>
          <w:rFonts w:ascii="Arial" w:hAnsi="Arial" w:cs="Arial"/>
          <w:bCs/>
          <w:sz w:val="18"/>
          <w:szCs w:val="18"/>
        </w:rPr>
      </w:pPr>
    </w:p>
    <w:p w:rsidR="00547435" w:rsidRDefault="005D4415" w:rsidP="00CA770C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1 – </w:t>
      </w:r>
      <w:r w:rsidR="00CA770C">
        <w:rPr>
          <w:rFonts w:ascii="Arial" w:hAnsi="Arial" w:cs="Arial"/>
          <w:bCs/>
          <w:sz w:val="18"/>
          <w:szCs w:val="18"/>
        </w:rPr>
        <w:t>O sistema web deve apresentar d</w:t>
      </w:r>
      <w:r w:rsidR="00CA770C" w:rsidRPr="003304ED">
        <w:rPr>
          <w:rFonts w:ascii="Arial" w:hAnsi="Arial" w:cs="Arial"/>
          <w:bCs/>
          <w:sz w:val="18"/>
          <w:szCs w:val="18"/>
        </w:rPr>
        <w:t>isponibilidade</w:t>
      </w:r>
      <w:r w:rsidR="00CA770C">
        <w:rPr>
          <w:rFonts w:ascii="Arial" w:hAnsi="Arial" w:cs="Arial"/>
          <w:bCs/>
          <w:sz w:val="18"/>
          <w:szCs w:val="18"/>
        </w:rPr>
        <w:t xml:space="preserve"> </w:t>
      </w:r>
      <w:r w:rsidR="00CA770C" w:rsidRPr="003304ED">
        <w:rPr>
          <w:rFonts w:ascii="Arial" w:hAnsi="Arial" w:cs="Arial"/>
          <w:bCs/>
          <w:sz w:val="18"/>
          <w:szCs w:val="18"/>
        </w:rPr>
        <w:t>mínima de 9</w:t>
      </w:r>
      <w:r w:rsidR="00CA770C">
        <w:rPr>
          <w:rFonts w:ascii="Arial" w:hAnsi="Arial" w:cs="Arial"/>
          <w:bCs/>
          <w:sz w:val="18"/>
          <w:szCs w:val="18"/>
        </w:rPr>
        <w:t>9,5</w:t>
      </w:r>
      <w:r w:rsidR="00CA770C" w:rsidRPr="003304ED">
        <w:rPr>
          <w:rFonts w:ascii="Arial" w:hAnsi="Arial" w:cs="Arial"/>
          <w:bCs/>
          <w:sz w:val="18"/>
          <w:szCs w:val="18"/>
        </w:rPr>
        <w:t xml:space="preserve">% (noventa e </w:t>
      </w:r>
      <w:r w:rsidR="00CA770C">
        <w:rPr>
          <w:rFonts w:ascii="Arial" w:hAnsi="Arial" w:cs="Arial"/>
          <w:bCs/>
          <w:sz w:val="18"/>
          <w:szCs w:val="18"/>
        </w:rPr>
        <w:t>nove inteiros e 5 décimos por cento</w:t>
      </w:r>
      <w:r w:rsidR="00CA770C" w:rsidRPr="003304ED">
        <w:rPr>
          <w:rFonts w:ascii="Arial" w:hAnsi="Arial" w:cs="Arial"/>
          <w:bCs/>
          <w:sz w:val="18"/>
          <w:szCs w:val="18"/>
        </w:rPr>
        <w:t>)</w:t>
      </w:r>
      <w:r w:rsidR="00CA770C">
        <w:rPr>
          <w:rFonts w:ascii="Arial" w:hAnsi="Arial" w:cs="Arial"/>
          <w:bCs/>
          <w:sz w:val="18"/>
          <w:szCs w:val="18"/>
        </w:rPr>
        <w:t>. O fornecedor deverá informar o ambiente de hospedagem da solução, incluíndo país, região e datacenter ou provedor de nuvem, garantindo SLA mínimo de 99,5 % de disponibilidade mensal, com mecanismos de redundância e planos de contingência. Deverá ser apresentada política formal de backup periódico e automático, com retenção mínima de 90 (noventa) dias, procedimentos de restauração sob demanda com prazos definidos, e armazenamento seguro e criptografado dos dados. O MPRS poderá solicitar, a qualquer momento, o acesso aos backups armazenados.</w:t>
      </w:r>
    </w:p>
    <w:p w:rsidR="00CA770C" w:rsidRDefault="00CA770C" w:rsidP="00CA770C">
      <w:pPr>
        <w:spacing w:before="1"/>
        <w:rPr>
          <w:rFonts w:ascii="Arial" w:hAnsi="Arial" w:cs="Arial"/>
          <w:bCs/>
          <w:sz w:val="18"/>
          <w:szCs w:val="18"/>
        </w:rPr>
      </w:pPr>
    </w:p>
    <w:p w:rsidR="00CA770C" w:rsidRDefault="005D4415" w:rsidP="00CA770C">
      <w:pPr>
        <w:spacing w:before="1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2 – </w:t>
      </w:r>
      <w:r w:rsidR="00B03C3F">
        <w:rPr>
          <w:rFonts w:ascii="Arial" w:hAnsi="Arial" w:cs="Arial"/>
          <w:bCs/>
          <w:sz w:val="18"/>
          <w:szCs w:val="18"/>
        </w:rPr>
        <w:t xml:space="preserve">O </w:t>
      </w:r>
      <w:r w:rsidR="00CA770C" w:rsidRPr="003304ED">
        <w:rPr>
          <w:rFonts w:ascii="Arial" w:hAnsi="Arial" w:cs="Arial"/>
          <w:bCs/>
          <w:sz w:val="18"/>
          <w:szCs w:val="18"/>
        </w:rPr>
        <w:t xml:space="preserve">Sítio de hospedagem </w:t>
      </w:r>
      <w:r w:rsidR="00B8337C">
        <w:rPr>
          <w:rFonts w:ascii="Arial" w:hAnsi="Arial" w:cs="Arial"/>
          <w:bCs/>
          <w:sz w:val="18"/>
          <w:szCs w:val="18"/>
        </w:rPr>
        <w:t xml:space="preserve">do sistema web deve possuir </w:t>
      </w:r>
      <w:r w:rsidR="00CA770C" w:rsidRPr="003304ED">
        <w:rPr>
          <w:rFonts w:ascii="Arial" w:hAnsi="Arial" w:cs="Arial"/>
          <w:bCs/>
          <w:sz w:val="18"/>
          <w:szCs w:val="18"/>
        </w:rPr>
        <w:t>certifica</w:t>
      </w:r>
      <w:r w:rsidR="00B8337C">
        <w:rPr>
          <w:rFonts w:ascii="Arial" w:hAnsi="Arial" w:cs="Arial"/>
          <w:bCs/>
          <w:sz w:val="18"/>
          <w:szCs w:val="18"/>
        </w:rPr>
        <w:t>ção</w:t>
      </w:r>
      <w:r w:rsidR="00CA770C" w:rsidRPr="003304ED">
        <w:rPr>
          <w:rFonts w:ascii="Arial" w:hAnsi="Arial" w:cs="Arial"/>
          <w:bCs/>
          <w:sz w:val="18"/>
          <w:szCs w:val="18"/>
        </w:rPr>
        <w:t xml:space="preserve"> SECURE SOCKETS LAYER</w:t>
      </w:r>
      <w:r w:rsidR="00B8337C">
        <w:rPr>
          <w:rFonts w:ascii="Arial" w:hAnsi="Arial" w:cs="Arial"/>
          <w:bCs/>
          <w:sz w:val="18"/>
          <w:szCs w:val="18"/>
        </w:rPr>
        <w:t>.</w:t>
      </w:r>
    </w:p>
    <w:p w:rsidR="00CA770C" w:rsidRDefault="00CA770C" w:rsidP="00CA770C">
      <w:pPr>
        <w:spacing w:before="1"/>
        <w:jc w:val="both"/>
        <w:rPr>
          <w:rFonts w:ascii="Arial" w:hAnsi="Arial" w:cs="Arial"/>
          <w:bCs/>
          <w:sz w:val="18"/>
          <w:szCs w:val="18"/>
        </w:rPr>
      </w:pPr>
    </w:p>
    <w:p w:rsidR="00CA770C" w:rsidRDefault="005D4415" w:rsidP="00CA770C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3 – </w:t>
      </w:r>
      <w:r w:rsidR="00071CF6" w:rsidRPr="00071CF6">
        <w:rPr>
          <w:rFonts w:ascii="Arial" w:hAnsi="Arial" w:cs="Arial"/>
          <w:bCs/>
          <w:sz w:val="18"/>
          <w:szCs w:val="18"/>
        </w:rPr>
        <w:t>A aplicação deve ser resistente aos principais vetores de ataque WEB listados no OWASP top 10</w:t>
      </w:r>
      <w:r w:rsidR="00B03C3F">
        <w:rPr>
          <w:rFonts w:ascii="Arial" w:hAnsi="Arial" w:cs="Arial"/>
          <w:bCs/>
          <w:sz w:val="18"/>
          <w:szCs w:val="18"/>
        </w:rPr>
        <w:t>.</w:t>
      </w:r>
    </w:p>
    <w:p w:rsidR="00CA770C" w:rsidRDefault="00CA770C" w:rsidP="00CA770C">
      <w:pPr>
        <w:spacing w:before="1"/>
        <w:rPr>
          <w:rFonts w:ascii="Arial" w:hAnsi="Arial" w:cs="Arial"/>
          <w:bCs/>
          <w:sz w:val="18"/>
          <w:szCs w:val="18"/>
        </w:rPr>
      </w:pPr>
    </w:p>
    <w:p w:rsidR="00CA770C" w:rsidRDefault="005D4415" w:rsidP="00CA770C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4 – </w:t>
      </w:r>
      <w:r w:rsidR="00CA770C" w:rsidRPr="003304ED">
        <w:rPr>
          <w:rFonts w:ascii="Arial" w:hAnsi="Arial" w:cs="Arial"/>
          <w:bCs/>
          <w:sz w:val="18"/>
          <w:szCs w:val="18"/>
        </w:rPr>
        <w:t xml:space="preserve">Acesso ao log de dados </w:t>
      </w:r>
      <w:r w:rsidR="00CA770C">
        <w:rPr>
          <w:rFonts w:ascii="Arial" w:hAnsi="Arial" w:cs="Arial"/>
          <w:bCs/>
          <w:sz w:val="18"/>
          <w:szCs w:val="18"/>
        </w:rPr>
        <w:t>e de au</w:t>
      </w:r>
      <w:r w:rsidR="00B8337C">
        <w:rPr>
          <w:rFonts w:ascii="Arial" w:hAnsi="Arial" w:cs="Arial"/>
          <w:bCs/>
          <w:sz w:val="18"/>
          <w:szCs w:val="18"/>
        </w:rPr>
        <w:t>di</w:t>
      </w:r>
      <w:r w:rsidR="00CA770C">
        <w:rPr>
          <w:rFonts w:ascii="Arial" w:hAnsi="Arial" w:cs="Arial"/>
          <w:bCs/>
          <w:sz w:val="18"/>
          <w:szCs w:val="18"/>
        </w:rPr>
        <w:t xml:space="preserve">toria </w:t>
      </w:r>
      <w:r w:rsidR="00CA770C" w:rsidRPr="003304ED">
        <w:rPr>
          <w:rFonts w:ascii="Arial" w:hAnsi="Arial" w:cs="Arial"/>
          <w:bCs/>
          <w:sz w:val="18"/>
          <w:szCs w:val="18"/>
        </w:rPr>
        <w:t>do sistema web</w:t>
      </w:r>
      <w:r w:rsidR="00CA770C">
        <w:rPr>
          <w:rFonts w:ascii="Arial" w:hAnsi="Arial" w:cs="Arial"/>
          <w:bCs/>
          <w:sz w:val="18"/>
          <w:szCs w:val="18"/>
        </w:rPr>
        <w:t>:</w:t>
      </w:r>
    </w:p>
    <w:p w:rsidR="00CA770C" w:rsidRDefault="00CA770C" w:rsidP="00CA770C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 w:rsidRPr="00CA770C">
        <w:rPr>
          <w:rFonts w:ascii="Arial" w:hAnsi="Arial" w:cs="Arial"/>
          <w:bCs/>
          <w:sz w:val="18"/>
          <w:szCs w:val="18"/>
        </w:rPr>
        <w:t>O sistema deve manter logs de auditoria imutáveis, registrando no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CA770C">
        <w:rPr>
          <w:rFonts w:ascii="Arial" w:hAnsi="Arial" w:cs="Arial"/>
          <w:bCs/>
          <w:sz w:val="18"/>
          <w:szCs w:val="18"/>
        </w:rPr>
        <w:t>mínimo: IP de origem e a porta lógica da conexão, data e hora (timestamp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CA770C">
        <w:rPr>
          <w:rFonts w:ascii="Arial" w:hAnsi="Arial" w:cs="Arial"/>
          <w:bCs/>
          <w:sz w:val="18"/>
          <w:szCs w:val="18"/>
        </w:rPr>
        <w:t>exato, preferencialmente em milissegundos no padrão UTC). Esses logs devem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CA770C">
        <w:rPr>
          <w:rFonts w:ascii="Arial" w:hAnsi="Arial" w:cs="Arial"/>
          <w:bCs/>
          <w:sz w:val="18"/>
          <w:szCs w:val="18"/>
        </w:rPr>
        <w:t>ser acessíveis para auditoria e controle interno, sempre que solicitados pelo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CA770C">
        <w:rPr>
          <w:rFonts w:ascii="Arial" w:hAnsi="Arial" w:cs="Arial"/>
          <w:bCs/>
          <w:sz w:val="18"/>
          <w:szCs w:val="18"/>
        </w:rPr>
        <w:t>MPRS, com período de retenção mínimo de noventa dias, garantindo 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CA770C">
        <w:rPr>
          <w:rFonts w:ascii="Arial" w:hAnsi="Arial" w:cs="Arial"/>
          <w:bCs/>
          <w:sz w:val="18"/>
          <w:szCs w:val="18"/>
        </w:rPr>
        <w:t>rastreabilidade e unicidade da origem em caso de incidentes.</w:t>
      </w:r>
    </w:p>
    <w:p w:rsidR="00CA770C" w:rsidRDefault="00CA770C" w:rsidP="00CA770C">
      <w:pPr>
        <w:spacing w:before="1"/>
        <w:rPr>
          <w:rFonts w:ascii="Arial" w:hAnsi="Arial" w:cs="Arial"/>
          <w:bCs/>
          <w:sz w:val="18"/>
          <w:szCs w:val="18"/>
        </w:rPr>
      </w:pPr>
    </w:p>
    <w:p w:rsidR="00CA770C" w:rsidRDefault="005D4415" w:rsidP="009049CC">
      <w:pPr>
        <w:tabs>
          <w:tab w:val="left" w:pos="1050"/>
        </w:tabs>
        <w:spacing w:before="1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5 – </w:t>
      </w:r>
      <w:r w:rsidR="009049CC">
        <w:rPr>
          <w:rFonts w:ascii="Arial" w:hAnsi="Arial" w:cs="Arial"/>
          <w:bCs/>
          <w:sz w:val="18"/>
          <w:szCs w:val="18"/>
        </w:rPr>
        <w:t xml:space="preserve">Em relação aos itens </w:t>
      </w:r>
      <w:r>
        <w:rPr>
          <w:rFonts w:ascii="Arial" w:hAnsi="Arial" w:cs="Arial"/>
          <w:bCs/>
          <w:sz w:val="18"/>
          <w:szCs w:val="18"/>
        </w:rPr>
        <w:t xml:space="preserve">4, </w:t>
      </w:r>
      <w:r w:rsidR="00B8337C">
        <w:rPr>
          <w:rFonts w:ascii="Arial" w:hAnsi="Arial" w:cs="Arial"/>
          <w:bCs/>
          <w:sz w:val="18"/>
          <w:szCs w:val="18"/>
        </w:rPr>
        <w:t>5, 6</w:t>
      </w:r>
      <w:r>
        <w:rPr>
          <w:rFonts w:ascii="Arial" w:hAnsi="Arial" w:cs="Arial"/>
          <w:bCs/>
          <w:sz w:val="18"/>
          <w:szCs w:val="18"/>
        </w:rPr>
        <w:t xml:space="preserve"> e</w:t>
      </w:r>
      <w:r w:rsidR="00B8337C">
        <w:rPr>
          <w:rFonts w:ascii="Arial" w:hAnsi="Arial" w:cs="Arial"/>
          <w:bCs/>
          <w:sz w:val="18"/>
          <w:szCs w:val="18"/>
        </w:rPr>
        <w:t xml:space="preserve"> 7</w:t>
      </w:r>
      <w:r w:rsidR="009049CC">
        <w:rPr>
          <w:rFonts w:ascii="Arial" w:hAnsi="Arial" w:cs="Arial"/>
          <w:bCs/>
          <w:sz w:val="18"/>
          <w:szCs w:val="18"/>
        </w:rPr>
        <w:t xml:space="preserve"> da Prova de Conceito, Anexo VII, o sistema web deve ter </w:t>
      </w:r>
      <w:r w:rsidR="009049CC" w:rsidRPr="009049CC">
        <w:rPr>
          <w:rFonts w:ascii="Arial" w:hAnsi="Arial" w:cs="Arial"/>
          <w:bCs/>
          <w:sz w:val="18"/>
          <w:szCs w:val="18"/>
        </w:rPr>
        <w:t>integração ao</w:t>
      </w:r>
      <w:r w:rsidR="009049CC">
        <w:rPr>
          <w:rFonts w:ascii="Arial" w:hAnsi="Arial" w:cs="Arial"/>
          <w:bCs/>
          <w:sz w:val="18"/>
          <w:szCs w:val="18"/>
        </w:rPr>
        <w:t xml:space="preserve"> </w:t>
      </w:r>
      <w:r w:rsidR="009049CC" w:rsidRPr="009049CC">
        <w:rPr>
          <w:rFonts w:ascii="Arial" w:hAnsi="Arial" w:cs="Arial"/>
          <w:bCs/>
          <w:sz w:val="18"/>
          <w:szCs w:val="18"/>
        </w:rPr>
        <w:t>Active Directory (AD), na modalidade Azure AD, com MFA obrigatório.</w:t>
      </w:r>
    </w:p>
    <w:p w:rsidR="009049CC" w:rsidRPr="009049CC" w:rsidRDefault="009049CC" w:rsidP="009049CC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 w:rsidRPr="009049CC">
        <w:rPr>
          <w:rFonts w:ascii="Arial" w:hAnsi="Arial" w:cs="Arial"/>
          <w:bCs/>
          <w:sz w:val="18"/>
          <w:szCs w:val="18"/>
        </w:rPr>
        <w:t>O sistema deve ter capacidade nativa de integração com serviços de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049CC">
        <w:rPr>
          <w:rFonts w:ascii="Arial" w:hAnsi="Arial" w:cs="Arial"/>
          <w:bCs/>
          <w:sz w:val="18"/>
          <w:szCs w:val="18"/>
        </w:rPr>
        <w:t>diretório Azure AD (Azure Active Directory):</w:t>
      </w:r>
    </w:p>
    <w:p w:rsidR="00CA770C" w:rsidRDefault="009049CC" w:rsidP="009049CC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 w:rsidRPr="009049CC">
        <w:rPr>
          <w:rFonts w:ascii="Arial" w:hAnsi="Arial" w:cs="Arial"/>
          <w:bCs/>
          <w:sz w:val="18"/>
          <w:szCs w:val="18"/>
        </w:rPr>
        <w:t>O sistema deve suportar autenticação federada com Azure AD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049CC">
        <w:rPr>
          <w:rFonts w:ascii="Arial" w:hAnsi="Arial" w:cs="Arial"/>
          <w:bCs/>
          <w:sz w:val="18"/>
          <w:szCs w:val="18"/>
        </w:rPr>
        <w:t>usando protocolos como OAuth 2.0, OpenID Connect ou SAML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049CC">
        <w:rPr>
          <w:rFonts w:ascii="Arial" w:hAnsi="Arial" w:cs="Arial"/>
          <w:bCs/>
          <w:sz w:val="18"/>
          <w:szCs w:val="18"/>
        </w:rPr>
        <w:t>2.0. Deve ser compatível com Multi-Factor Authentication (MFA),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049CC">
        <w:rPr>
          <w:rFonts w:ascii="Arial" w:hAnsi="Arial" w:cs="Arial"/>
          <w:bCs/>
          <w:sz w:val="18"/>
          <w:szCs w:val="18"/>
        </w:rPr>
        <w:t>conforme as políticas do Azure AD, e com Azure AD B2B para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049CC">
        <w:rPr>
          <w:rFonts w:ascii="Arial" w:hAnsi="Arial" w:cs="Arial"/>
          <w:bCs/>
          <w:sz w:val="18"/>
          <w:szCs w:val="18"/>
        </w:rPr>
        <w:t>acesso controlado de usuários externos convidados. Deve ser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049CC">
        <w:rPr>
          <w:rFonts w:ascii="Arial" w:hAnsi="Arial" w:cs="Arial"/>
          <w:bCs/>
          <w:sz w:val="18"/>
          <w:szCs w:val="18"/>
        </w:rPr>
        <w:t>possível configurar múltiplos domínios e Unidades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049CC">
        <w:rPr>
          <w:rFonts w:ascii="Arial" w:hAnsi="Arial" w:cs="Arial"/>
          <w:bCs/>
          <w:sz w:val="18"/>
          <w:szCs w:val="18"/>
        </w:rPr>
        <w:t>Organizacionais (OUs), além de mapear grupos específicos do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049CC">
        <w:rPr>
          <w:rFonts w:ascii="Arial" w:hAnsi="Arial" w:cs="Arial"/>
          <w:bCs/>
          <w:sz w:val="18"/>
          <w:szCs w:val="18"/>
        </w:rPr>
        <w:t>AD para perfis de acesso no sistema. A sincronização de usuários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049CC">
        <w:rPr>
          <w:rFonts w:ascii="Arial" w:hAnsi="Arial" w:cs="Arial"/>
          <w:bCs/>
          <w:sz w:val="18"/>
          <w:szCs w:val="18"/>
        </w:rPr>
        <w:t>poderá ser automática ou sob demanda.</w:t>
      </w:r>
    </w:p>
    <w:p w:rsidR="009115FA" w:rsidRPr="009115FA" w:rsidRDefault="009115FA" w:rsidP="009115FA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 w:rsidRPr="009115FA">
        <w:rPr>
          <w:rFonts w:ascii="Arial" w:hAnsi="Arial" w:cs="Arial"/>
          <w:bCs/>
          <w:sz w:val="18"/>
          <w:szCs w:val="18"/>
        </w:rPr>
        <w:t>O sistema deverá suportar autenticação multifator (MFA) para todos os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usuários, em conformidade com as políticas de segurança da instituição. 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solução deverá ser compatível com os mecanismos de MFA já adotados pelo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órgão, incluindo, preferencialmente, o Microsoft Authenticator, ou outros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baseados em padrões amplamente utilizados no mercado.</w:t>
      </w:r>
    </w:p>
    <w:p w:rsidR="009115FA" w:rsidRPr="009115FA" w:rsidRDefault="009115FA" w:rsidP="009115FA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 w:rsidRPr="009115FA">
        <w:rPr>
          <w:rFonts w:ascii="Arial" w:hAnsi="Arial" w:cs="Arial"/>
          <w:bCs/>
          <w:sz w:val="18"/>
          <w:szCs w:val="18"/>
        </w:rPr>
        <w:t>O sistema deverá implementar mecanismo de controle de acesso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baseado em papéis (RBAC), permitindo a definição de perfis de acesso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conforme funções institucionais. Cada papel deverá possuir permissões</w:t>
      </w:r>
    </w:p>
    <w:p w:rsidR="009115FA" w:rsidRPr="00071CF6" w:rsidRDefault="009115FA" w:rsidP="009115FA">
      <w:pPr>
        <w:spacing w:before="1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9115FA">
        <w:rPr>
          <w:rFonts w:ascii="Arial" w:hAnsi="Arial" w:cs="Arial"/>
          <w:bCs/>
          <w:sz w:val="18"/>
          <w:szCs w:val="18"/>
        </w:rPr>
        <w:t>específicas e configuráveis, com possibilidade de associação automática 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partir de grupos ou unidades organizacionais do Azure AD</w:t>
      </w:r>
      <w:r w:rsidR="00B8337C">
        <w:rPr>
          <w:rFonts w:ascii="Arial" w:hAnsi="Arial" w:cs="Arial"/>
          <w:bCs/>
          <w:sz w:val="18"/>
          <w:szCs w:val="18"/>
        </w:rPr>
        <w:t>.</w:t>
      </w:r>
    </w:p>
    <w:p w:rsidR="009115FA" w:rsidRDefault="009115FA" w:rsidP="009115FA">
      <w:pPr>
        <w:spacing w:before="1"/>
        <w:jc w:val="both"/>
        <w:rPr>
          <w:rFonts w:ascii="Arial" w:hAnsi="Arial" w:cs="Arial"/>
          <w:bCs/>
          <w:sz w:val="18"/>
          <w:szCs w:val="18"/>
        </w:rPr>
      </w:pPr>
    </w:p>
    <w:p w:rsidR="009115FA" w:rsidRPr="009115FA" w:rsidRDefault="005D4415" w:rsidP="009115FA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6 – </w:t>
      </w:r>
      <w:r w:rsidR="00B8337C">
        <w:rPr>
          <w:rFonts w:ascii="Arial" w:hAnsi="Arial" w:cs="Arial"/>
          <w:bCs/>
          <w:sz w:val="18"/>
          <w:szCs w:val="18"/>
        </w:rPr>
        <w:t>A c</w:t>
      </w:r>
      <w:r w:rsidR="009115FA" w:rsidRPr="009115FA">
        <w:rPr>
          <w:rFonts w:ascii="Arial" w:hAnsi="Arial" w:cs="Arial"/>
          <w:bCs/>
          <w:sz w:val="18"/>
          <w:szCs w:val="18"/>
        </w:rPr>
        <w:t xml:space="preserve">omunicação entre browser e </w:t>
      </w:r>
      <w:r w:rsidR="009115FA">
        <w:rPr>
          <w:rFonts w:ascii="Arial" w:hAnsi="Arial" w:cs="Arial"/>
          <w:bCs/>
          <w:sz w:val="18"/>
          <w:szCs w:val="18"/>
        </w:rPr>
        <w:t>servidor deve ser criptografada:</w:t>
      </w:r>
    </w:p>
    <w:p w:rsidR="009115FA" w:rsidRPr="009115FA" w:rsidRDefault="009115FA" w:rsidP="009115FA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 w:rsidRPr="009115FA">
        <w:rPr>
          <w:rFonts w:ascii="Arial" w:hAnsi="Arial" w:cs="Arial"/>
          <w:bCs/>
          <w:sz w:val="18"/>
          <w:szCs w:val="18"/>
        </w:rPr>
        <w:t>A comunicação entre o browser/cliente e o servidor deve ser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criptografada, utilizando protocolos seguros como TLS (Transport Layer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Security) versão 1.2 ou superior, forçando a utilização do mecanismo HSTS</w:t>
      </w:r>
    </w:p>
    <w:p w:rsidR="009115FA" w:rsidRDefault="009115FA" w:rsidP="009115FA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 w:rsidRPr="009115FA">
        <w:rPr>
          <w:rFonts w:ascii="Arial" w:hAnsi="Arial" w:cs="Arial"/>
          <w:bCs/>
          <w:sz w:val="18"/>
          <w:szCs w:val="18"/>
        </w:rPr>
        <w:t>(HTTP Strict Transport Security), para garantir a confidencialidade e integridade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dos dados trafegados, independentemente da arquitetura de implementação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(on-premise ou nuvem).</w:t>
      </w:r>
    </w:p>
    <w:p w:rsidR="009115FA" w:rsidRDefault="009115FA" w:rsidP="009115FA">
      <w:pPr>
        <w:spacing w:before="1"/>
        <w:jc w:val="both"/>
        <w:rPr>
          <w:rFonts w:ascii="Arial" w:hAnsi="Arial" w:cs="Arial"/>
          <w:bCs/>
          <w:sz w:val="18"/>
          <w:szCs w:val="18"/>
        </w:rPr>
      </w:pPr>
    </w:p>
    <w:p w:rsidR="009115FA" w:rsidRPr="009115FA" w:rsidRDefault="005D4415" w:rsidP="009115FA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7 – </w:t>
      </w:r>
      <w:r w:rsidR="009115FA" w:rsidRPr="009115FA">
        <w:rPr>
          <w:rFonts w:ascii="Arial" w:hAnsi="Arial" w:cs="Arial"/>
          <w:bCs/>
          <w:sz w:val="18"/>
          <w:szCs w:val="18"/>
        </w:rPr>
        <w:t>O sistema deverá estar em plena conformidade com a Lei Geral de</w:t>
      </w:r>
      <w:r w:rsidR="009115FA">
        <w:rPr>
          <w:rFonts w:ascii="Arial" w:hAnsi="Arial" w:cs="Arial"/>
          <w:bCs/>
          <w:sz w:val="18"/>
          <w:szCs w:val="18"/>
        </w:rPr>
        <w:t xml:space="preserve"> </w:t>
      </w:r>
      <w:r w:rsidR="009115FA" w:rsidRPr="009115FA">
        <w:rPr>
          <w:rFonts w:ascii="Arial" w:hAnsi="Arial" w:cs="Arial"/>
          <w:bCs/>
          <w:sz w:val="18"/>
          <w:szCs w:val="18"/>
        </w:rPr>
        <w:t>Proteção de Dados (LGPD), apresentando política de privacidade atualizada,</w:t>
      </w:r>
      <w:r w:rsidR="009115FA">
        <w:rPr>
          <w:rFonts w:ascii="Arial" w:hAnsi="Arial" w:cs="Arial"/>
          <w:bCs/>
          <w:sz w:val="18"/>
          <w:szCs w:val="18"/>
        </w:rPr>
        <w:t xml:space="preserve"> </w:t>
      </w:r>
      <w:r w:rsidR="009115FA" w:rsidRPr="009115FA">
        <w:rPr>
          <w:rFonts w:ascii="Arial" w:hAnsi="Arial" w:cs="Arial"/>
          <w:bCs/>
          <w:sz w:val="18"/>
          <w:szCs w:val="18"/>
        </w:rPr>
        <w:t>identificação do Encarregado de Dados (DPO) e mecanismos para garantir o</w:t>
      </w:r>
      <w:r w:rsidR="009115FA">
        <w:rPr>
          <w:rFonts w:ascii="Arial" w:hAnsi="Arial" w:cs="Arial"/>
          <w:bCs/>
          <w:sz w:val="18"/>
          <w:szCs w:val="18"/>
        </w:rPr>
        <w:t xml:space="preserve"> </w:t>
      </w:r>
      <w:r w:rsidR="009115FA" w:rsidRPr="009115FA">
        <w:rPr>
          <w:rFonts w:ascii="Arial" w:hAnsi="Arial" w:cs="Arial"/>
          <w:bCs/>
          <w:sz w:val="18"/>
          <w:szCs w:val="18"/>
        </w:rPr>
        <w:t>exercício dos direitos dos titulares (acesso, retificação, exclusão e portabilidade</w:t>
      </w:r>
      <w:r w:rsidR="009115FA">
        <w:rPr>
          <w:rFonts w:ascii="Arial" w:hAnsi="Arial" w:cs="Arial"/>
          <w:bCs/>
          <w:sz w:val="18"/>
          <w:szCs w:val="18"/>
        </w:rPr>
        <w:t xml:space="preserve"> </w:t>
      </w:r>
      <w:r w:rsidR="009115FA" w:rsidRPr="009115FA">
        <w:rPr>
          <w:rFonts w:ascii="Arial" w:hAnsi="Arial" w:cs="Arial"/>
          <w:bCs/>
          <w:sz w:val="18"/>
          <w:szCs w:val="18"/>
        </w:rPr>
        <w:t>de dados).</w:t>
      </w:r>
    </w:p>
    <w:p w:rsidR="009115FA" w:rsidRPr="00CA770C" w:rsidRDefault="009115FA" w:rsidP="009115FA">
      <w:pPr>
        <w:spacing w:before="1"/>
        <w:jc w:val="both"/>
        <w:rPr>
          <w:rFonts w:ascii="Arial" w:hAnsi="Arial" w:cs="Arial"/>
          <w:bCs/>
          <w:sz w:val="18"/>
          <w:szCs w:val="18"/>
        </w:rPr>
      </w:pPr>
      <w:r w:rsidRPr="009115FA">
        <w:rPr>
          <w:rFonts w:ascii="Arial" w:hAnsi="Arial" w:cs="Arial"/>
          <w:bCs/>
          <w:sz w:val="18"/>
          <w:szCs w:val="18"/>
        </w:rPr>
        <w:t>Em caso de incidente de segurança envolvendo vazamento de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dados ou violação de credenciais de acesso, o fornecedor deverá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comunicar formalmente o MPRS no prazo máximo de 72 (setenta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9115FA">
        <w:rPr>
          <w:rFonts w:ascii="Arial" w:hAnsi="Arial" w:cs="Arial"/>
          <w:bCs/>
          <w:sz w:val="18"/>
          <w:szCs w:val="18"/>
        </w:rPr>
        <w:t>e duas) horas a partir da identificação do ocorrido</w:t>
      </w:r>
      <w:r>
        <w:rPr>
          <w:rFonts w:ascii="Arial" w:hAnsi="Arial" w:cs="Arial"/>
          <w:bCs/>
          <w:sz w:val="18"/>
          <w:szCs w:val="18"/>
        </w:rPr>
        <w:t>.</w:t>
      </w:r>
    </w:p>
    <w:sectPr w:rsidR="009115FA" w:rsidRPr="00CA770C" w:rsidSect="0054743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574" w:rsidRDefault="00133574" w:rsidP="00133574">
      <w:r>
        <w:separator/>
      </w:r>
    </w:p>
  </w:endnote>
  <w:endnote w:type="continuationSeparator" w:id="0">
    <w:p w:rsidR="00133574" w:rsidRDefault="00133574" w:rsidP="00133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74" w:rsidRDefault="00133574" w:rsidP="00133574">
    <w:pPr>
      <w:pStyle w:val="Rodap"/>
      <w:tabs>
        <w:tab w:val="clear" w:pos="4252"/>
        <w:tab w:val="clear" w:pos="8504"/>
        <w:tab w:val="left" w:pos="2900"/>
      </w:tabs>
    </w:pPr>
    <w:r>
      <w:tab/>
    </w:r>
    <w:r w:rsidRPr="00133574">
      <w:drawing>
        <wp:inline distT="0" distB="0" distL="0" distR="0">
          <wp:extent cx="5400040" cy="562610"/>
          <wp:effectExtent l="0" t="0" r="0" b="0"/>
          <wp:docPr id="2" name="Imagem 1" descr="Cabeçalho-e-Rodapé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-e-Rodapé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62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574" w:rsidRDefault="00133574" w:rsidP="00133574">
      <w:r>
        <w:separator/>
      </w:r>
    </w:p>
  </w:footnote>
  <w:footnote w:type="continuationSeparator" w:id="0">
    <w:p w:rsidR="00133574" w:rsidRDefault="00133574" w:rsidP="001335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574" w:rsidRDefault="00133574">
    <w:pPr>
      <w:pStyle w:val="Cabealho"/>
    </w:pPr>
    <w:r w:rsidRPr="00133574">
      <w:drawing>
        <wp:inline distT="0" distB="0" distL="0" distR="0">
          <wp:extent cx="5400040" cy="1182290"/>
          <wp:effectExtent l="19050" t="0" r="0" b="0"/>
          <wp:docPr id="1" name="Imagem 0" descr="Cabeçalho-e-Rodapé-Color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-e-Rodapé-Colorid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1182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70C"/>
    <w:rsid w:val="00071CF6"/>
    <w:rsid w:val="00133574"/>
    <w:rsid w:val="00324464"/>
    <w:rsid w:val="003E4BB2"/>
    <w:rsid w:val="004C7AD0"/>
    <w:rsid w:val="00547435"/>
    <w:rsid w:val="005D13D7"/>
    <w:rsid w:val="005D4415"/>
    <w:rsid w:val="009049CC"/>
    <w:rsid w:val="009115FA"/>
    <w:rsid w:val="00B03C3F"/>
    <w:rsid w:val="00B8337C"/>
    <w:rsid w:val="00BC685E"/>
    <w:rsid w:val="00CA770C"/>
    <w:rsid w:val="00D32738"/>
    <w:rsid w:val="00D57E93"/>
    <w:rsid w:val="00DB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70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13357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33574"/>
    <w:rPr>
      <w:rFonts w:ascii="Cambria" w:eastAsia="Cambria" w:hAnsi="Cambria" w:cs="Cambria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13357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33574"/>
    <w:rPr>
      <w:rFonts w:ascii="Cambria" w:eastAsia="Cambria" w:hAnsi="Cambria" w:cs="Cambria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3357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33574"/>
    <w:rPr>
      <w:rFonts w:ascii="Tahoma" w:eastAsia="Cambria" w:hAnsi="Tahoma" w:cs="Tahoma"/>
      <w:sz w:val="16"/>
      <w:szCs w:val="16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617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xpadmin</dc:creator>
  <cp:lastModifiedBy>xpadmin</cp:lastModifiedBy>
  <cp:revision>3</cp:revision>
  <dcterms:created xsi:type="dcterms:W3CDTF">2025-11-19T19:01:00Z</dcterms:created>
  <dcterms:modified xsi:type="dcterms:W3CDTF">2025-11-24T16:47:00Z</dcterms:modified>
</cp:coreProperties>
</file>